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9" Type="http://schemas.openxmlformats.org/officeDocument/2006/relationships/extended-properties" Target="docProps/app.xml"/><Relationship Id="rId10"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bidi w:val="false"/>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Администрация города Димитровграда Ульяновской области</w:t>
      </w:r>
    </w:p>
    <w:p>
      <w:pPr>
        <w:jc w:val="center"/>
        <w:textAlignment w:val="auto"/>
        <w:ind w:left="0" w:right="0" w:start="0" w:end="0"/>
        <w:adjustRightInd w:val="true"/>
        <w:spacing w:after="0" w:line="240"/>
        <w:bidi w:val="false"/>
        <w:pBdr>
          <w:bottom w:color="000000" w:sz="8" w:space="1" w:val="single"/>
        </w:pBdr>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Правовое управление</w:t>
      </w:r>
    </w:p>
    <w:p>
      <w:pPr>
        <w:jc w:val="center"/>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t xml:space="preserve">ул. Хмельницкого, 93, г. Димитровград, Ульяновской области</w:t>
      </w:r>
    </w:p>
    <w:p>
      <w:pPr>
        <w:jc w:val="center"/>
        <w:textAlignment w:val="auto"/>
        <w:ind w:left="0" w:right="0" w:start="0" w:end="0"/>
        <w:adjustRightInd w:val="true"/>
        <w:spacing w:after="0" w:line="240"/>
        <w:bidi w:val="false"/>
        <w:rPr>
          <w:b w:val="true"/>
          <w:rFonts w:ascii="Times New Roman" w:eastAsia="Times New Roman" w:hAnsi="Times New Roman" w:cs="Times New Roman"/>
          <w:sz w:val="20"/>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Заключение</w:t>
      </w:r>
    </w:p>
    <w:p>
      <w:pPr>
        <w:jc w:val="center"/>
        <w:textAlignment w:val="auto"/>
        <w:ind w:left="0" w:right="-1" w:start="0" w:end="-1"/>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по результатам проведения антикоррупционной экспертизы проекта постановления Администрации города «О внесении изменений в постановление Администрации города от 30.09.2015 № 3277»</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Дата экспертизы: 04.04.2022</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Результат экспертизы: коррупциогенные факторы не выявлены</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1.Общие положения</w:t>
      </w:r>
    </w:p>
    <w:p>
      <w:pPr>
        <w:jc w:val="both"/>
        <w:textAlignment w:val="auto"/>
        <w:ind w:left="0" w:right="-1" w:start="0" w:end="-1"/>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Настоящее заключение дано на проект постановления Администрации города Димитровграда Ульяновской области «О внесении изменений в постановление Администрации города от 30.09.2015 № 3277» (далее - Проект).</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внесен Управлением финансов и муниципальных закупок.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Экспертиза проведена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№96 и Порядком проведения антикоррупционной экспертизы нормативных правовых актов Главы города Димитровграда Ульяновской области, Администрации города Димитровграда Ульяновской области и их проектов, утвержденным постановлением Администрации города от 24.12.2018 №2809.</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2.Описание проекта</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разработан в  соответствии со статьей 179 Бюджетного кодекса Российской Федерации, пунктом 13 части 1 статьи 16 Федерального закона от 06.10.2003 №131-ФЗ «Об общих принципах организации местного самоуправления в Российской Федерации», частью 1 статьи 9 Федерального закона от 29.12.2012 №273-ФЗ «Об образовании в Российской Федерации», пунктом 16 части 1 статьи 7, пунктом 16 части 7 статьи 45, пунктом 10 части 2 статьи 55 Устава муниципального образования «Город Димитровград» Ульяновской области, постановлением Администрации города от 28.12.2018 №2905 «Об утверждении Порядка разработки, реализации и оценки эффективности муниципальных программ на территории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1 Проекта предлагается внести изменения в постановление Администрации города от 30.09.2015 №3277 «Об утверждении муниципальной программы «Обеспечение доступного и качественного образования в городе Димитровграде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2 Проекта предлагается установить, что постановление подлежит официальному опубликованию.</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3 Проекта возлагается контроль за исполнением постановления.</w:t>
      </w:r>
    </w:p>
    <w:p>
      <w:pPr>
        <w:jc w:val="both"/>
        <w:textAlignment w:val="auto"/>
        <w:ind w:firstLine="567"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соответствии с Порядком подготовки муниципальных нормативных правовых актов органов местного самоуправления города Димитровграда Ульяновской области, разработчиками которых выступают структурные подразделения, отраслевые (функциональные) органы Администрации города Димитровграда Ульяновской области, утвержденным постановлением Администрации города от 24.12.2018 №2810, к Проекту приложены пояснительная записка, финансово-экономическое обоснование, заключение Управления финансов и закупок. </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3.Выявленные в положениях проекта постановления факторы, которые способствуют или могут способствовать созданию условий для проявления коррупции</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первоначально был размещен в Федеральной информационной системе стратегического планирования </w:t>
      </w:r>
      <w:hyperlink r:id="rId2">
        <w:r>
          <w:rPr>
            <w:rFonts w:ascii="Times New Roman" w:eastAsia="Times New Roman" w:hAnsi="Times New Roman" w:cs="Times New Roman"/>
            <w:sz w:val="27"/>
            <w:color w:val="0000ff"/>
            <w:u w:val="single"/>
          </w:rPr>
          <w:t xml:space="preserve">http://gasu.gov.ru/stratpassport</w:t>
        </w:r>
      </w:hyperlink>
      <w:r>
        <w:rPr>
          <w:rFonts w:ascii="Times New Roman" w:eastAsia="Times New Roman" w:hAnsi="Times New Roman" w:cs="Times New Roman"/>
          <w:sz w:val="27"/>
        </w:rPr>
        <w:t xml:space="preserve">, а также на официальном сайте Администрации города для проведения общественного обсуждения проекта </w:t>
      </w:r>
      <w:hyperlink r:id="rId3">
        <w:r>
          <w:rPr>
            <w:rFonts w:ascii="Times New Roman" w:eastAsia="Times New Roman" w:hAnsi="Times New Roman" w:cs="Times New Roman"/>
            <w:sz w:val="27"/>
            <w:color w:val="0000ff"/>
            <w:u w:val="single"/>
          </w:rPr>
          <w:t xml:space="preserve">http://dimitrovgrad.ru/regulatory/program_projects/33174/</w:t>
        </w:r>
      </w:hyperlink>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ходе проведения правовой и антикоррупционной экспертизы были устранены замечания правового управления Администрации города, управления социально-экономического развития Администрации города, Управления финансов и закупок, при этом не давалась правовая оценка разделам муниципальной программы, посвященным финансированию реализации мероприятий муниципальной программы, и возможному влиянию изменения объемов финансирования на показатели эффективности реализации муниципальной программы в связи с отсутствием специальных познаний в соответствующей сфере.</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 проект дано положительное заключение управления социально-экономического развития Администрации города, Управления финансов и закупок.</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Факторов, которые способствуют или могут способствовать созданию условий для проявления коррупции в проекте постановления, не выявлено.</w:t>
      </w:r>
    </w:p>
    <w:p>
      <w:pPr>
        <w:jc w:val="both"/>
        <w:textAlignment w:val="auto"/>
        <w:ind w:firstLine="540" w:left="0" w:right="0" w:start="0" w:end="0"/>
        <w:spacing w:after="0" w:line="240"/>
        <w:bidi w:val="false"/>
        <w:rPr>
          <w:rFonts w:ascii="Times New Roman" w:eastAsia="Times New Roman" w:hAnsi="Times New Roman" w:cs="Times New Roman"/>
          <w:sz w:val="27"/>
        </w:rPr>
      </w:pP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4.Выводы по результатам антикоррупционной экспертизы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color w:val="000000"/>
        </w:rPr>
      </w:pPr>
      <w:r>
        <w:rPr>
          <w:rFonts w:ascii="Times New Roman" w:eastAsia="Times New Roman" w:hAnsi="Times New Roman" w:cs="Times New Roman"/>
          <w:sz w:val="27"/>
        </w:rPr>
        <w:t xml:space="preserve"> Проект признается прошедшим антикоррупционную экспертизу</w:t>
      </w:r>
      <w:r>
        <w:rPr>
          <w:rFonts w:ascii="Times New Roman" w:eastAsia="Times New Roman" w:hAnsi="Times New Roman" w:cs="Times New Roman"/>
          <w:sz w:val="27"/>
          <w:color w:val="000000"/>
        </w:rPr>
        <w:t xml:space="preserve">.</w:t>
      </w:r>
    </w:p>
    <w:p>
      <w:pPr>
        <w:jc w:val="both"/>
        <w:textAlignment w:val="auto"/>
        <w:ind w:firstLine="540"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Проект подлежит направлению в прокуратуру города Димитровграда, Контрольно-счетную палату города Димитровграда Ульяновской области, после получения положительного заключения Контрольно-счетной палаты проект направляется в Городскую Думу города Димитровграда Ульяновской области, а также направляется на общественное обсуждение.</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color w:val="212121"/>
        </w:rPr>
        <w:t xml:space="preserve">Проект подлежит направлению в подразделения, образуемые в Правительстве Ульяновской области, и в исполнительные органы государственной власти Ульяновской области по соответствующим направлениям деятельности.</w:t>
      </w:r>
      <w:r>
        <w:rPr>
          <w:rFonts w:ascii="Times New Roman" w:eastAsia="Times New Roman" w:hAnsi="Times New Roman" w:cs="Times New Roman"/>
          <w:sz w:val="27"/>
        </w:rPr>
        <w:t xml:space="preserve"> </w:t>
      </w: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Ведущий инспектор-юрисконсульт</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отдела правовой экспертизы</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правового управления</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Т.Ю.Тойгильдина</w:t>
      </w:r>
    </w:p>
    <w:p>
      <w:pPr>
        <w:jc w:val="left"/>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Согласовано:</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 правового управления </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Администрации города</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С.Н.Барышева</w:t>
      </w:r>
    </w:p>
    <w:p>
      <w:pPr>
        <w:jc w:val="both"/>
        <w:textAlignment w:val="auto"/>
        <w:ind w:left="0" w:right="0" w:start="0" w:end="0"/>
        <w:spacing w:after="0" w:line="240"/>
        <w:bidi w:val="false"/>
        <w:rPr>
          <w:rFonts w:ascii="Times New Roman" w:eastAsia="Times New Roman" w:hAnsi="Times New Roman" w:cs="Times New Roman"/>
          <w:sz w:val="27"/>
        </w:rPr>
      </w:pPr>
    </w:p>
    <w:p>
      <w:pPr>
        <w:jc w:val="both"/>
        <w:textAlignment w:val="auto"/>
        <w:ind w:left="0" w:right="0" w:start="0" w:end="0"/>
        <w:spacing w:after="0" w:line="240"/>
        <w:bidi w:val="false"/>
        <w:rPr>
          <w:rFonts w:ascii="Times New Roman" w:eastAsia="Times New Roman" w:hAnsi="Times New Roman" w:cs="Times New Roman"/>
          <w:sz w:val="24"/>
        </w:rPr>
      </w:pPr>
    </w:p>
    <w:sectPr>
      <w:cols w:num="1" w:space="720" w:equalWidth="true"/>
      <w:footnotePr>
        <w:pos w:val="beneathText"/>
      </w:footnotePr>
      <w:lnNumType w:distance="0"/>
      <w:pgSz w:w="11905" w:h="16837"/>
      <w:pgMar w:left="1559" w:right="567" w:top="1134" w:bottom="568" w:gutter="0" w:header="851" w:footer="567"/>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altName w:val="Times New Roman"/>
    <w:panose1 w:val="02020603050405020304"/>
    <w:family w:val="roman"/>
    <w:charset w:val="CC"/>
    <w:pitch w:val="variable"/>
  </w:font>
  <w:font w:name="Arial">
    <w:panose1 w:val="020b0604020202020204"/>
    <w:family w:val="swiss"/>
    <w:charset w:val="CC"/>
    <w:pitch w:val="variable"/>
  </w:font>
  <w:font w:name="Courier New">
    <w:altName w:val="Courier New"/>
    <w:panose1 w:val="02070309020205020404"/>
    <w:family w:val="modern"/>
    <w:charset w:val="CC"/>
    <w:pitch w:val="fixed"/>
  </w:font>
  <w:font w:name="Cambria Math">
    <w:panose1 w:val="02040503050406030204"/>
    <w:family w:val="roman"/>
    <w:charset w:val="CC"/>
    <w:pitch w:val="variable"/>
  </w:font>
  <w:font w:name="Tahoma">
    <w:panose1 w:val="020b0604030504040204"/>
    <w:family w:val="swiss"/>
    <w:charset w:val="CC"/>
    <w:pitch w:val="variable"/>
  </w:font>
  <w:font w:name="Segoe UI">
    <w:altName w:val="Arial"/>
    <w:panose1 w:val="020b0502040204020203"/>
    <w:family w:val="swiss"/>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mbria">
    <w:panose1 w:val="020405030504060302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libri">
    <w:panose1 w:val="020f0502020204030204"/>
    <w:family w:val="swiss"/>
    <w:charset w:val="CC"/>
    <w:pitch w:val="variable"/>
  </w:font>
  <w:font w:name="Times New Roman">
    <w:altName w:val="Times New Roman"/>
    <w:panose1 w:val="02020603050405020304"/>
    <w:family w:val="roman"/>
    <w:charset w:val="CC"/>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Arial">
    <w:family w:val="swiss"/>
    <w:charset w:val="00"/>
    <w:pitch w:val="variable"/>
  </w:font>
  <w:font w:name="Arial CE">
    <w:family w:val="swiss"/>
    <w:charset w:val="EE"/>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w:altName w:val="Courier New"/>
    <w:family w:val="modern"/>
    <w:charset w:val="00"/>
    <w:pitch w:val="fixed"/>
  </w:font>
  <w:font w:name="Courier New CE">
    <w:altName w:val="Courier New"/>
    <w:family w:val="modern"/>
    <w:charset w:val="EE"/>
    <w:pitch w:val="fixed"/>
  </w:font>
  <w:font w:name="Courier New Greek">
    <w:altName w:val="Courier New"/>
    <w:family w:val="modern"/>
    <w:charset w:val="A1"/>
    <w:pitch w:val="fixed"/>
  </w:font>
  <w:font w:name="Courier New Tur">
    <w:altName w:val="Courier New"/>
    <w:family w:val="modern"/>
    <w:charset w:val="A2"/>
    <w:pitch w:val="fixed"/>
  </w:font>
  <w:font w:name="Courier New (Hebrew)">
    <w:altName w:val="Courier New"/>
    <w:family w:val="modern"/>
    <w:charset w:val="B1"/>
    <w:pitch w:val="fixed"/>
  </w:font>
  <w:font w:name="Courier New (Arabic)">
    <w:altName w:val="Courier New"/>
    <w:family w:val="modern"/>
    <w:charset w:val="B2"/>
    <w:pitch w:val="fixed"/>
  </w:font>
  <w:font w:name="Courier New Baltic">
    <w:altName w:val="Courier New"/>
    <w:family w:val="modern"/>
    <w:charset w:val="BA"/>
    <w:pitch w:val="fixed"/>
  </w:font>
  <w:font w:name="Courier New (Vietnamese)">
    <w:altName w:val="Courier New"/>
    <w:family w:val="modern"/>
    <w:charset w:val="A3"/>
    <w:pitch w:val="fixed"/>
  </w:font>
  <w:font w:name="Cambria Math">
    <w:family w:val="roman"/>
    <w:charset w:val="00"/>
    <w:pitch w:val="variable"/>
  </w:font>
  <w:font w:name="Cambria Math CE">
    <w:family w:val="roman"/>
    <w:charset w:val="EE"/>
    <w:pitch w:val="variable"/>
  </w:font>
  <w:font w:name="Cambria Math Greek">
    <w:family w:val="roman"/>
    <w:charset w:val="A1"/>
    <w:pitch w:val="variable"/>
  </w:font>
  <w:font w:name="Cambria Math Tur">
    <w:family w:val="roman"/>
    <w:charset w:val="A2"/>
    <w:pitch w:val="variable"/>
  </w:font>
  <w:font w:name="Cambria Math Baltic">
    <w:family w:val="roman"/>
    <w:charset w:val="BA"/>
    <w:pitch w:val="variable"/>
  </w:font>
  <w:font w:name="Cambria Math (Vietnamese)">
    <w:family w:val="roman"/>
    <w:charset w:val="A3"/>
    <w:pitch w:val="variable"/>
  </w:font>
  <w:font w:name="Tahoma">
    <w:family w:val="swiss"/>
    <w:charset w:val="00"/>
    <w:pitch w:val="variable"/>
  </w:font>
  <w:font w:name="Tahoma CE">
    <w:family w:val="swiss"/>
    <w:charset w:val="EE"/>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Segoe UI">
    <w:altName w:val="Arial"/>
    <w:family w:val="swiss"/>
    <w:charset w:val="00"/>
    <w:pitch w:val="variable"/>
  </w:font>
  <w:font w:name="Segoe UI CE">
    <w:altName w:val="Arial"/>
    <w:family w:val="swiss"/>
    <w:charset w:val="EE"/>
    <w:pitch w:val="variable"/>
  </w:font>
  <w:font w:name="Segoe UI Greek">
    <w:altName w:val="Arial"/>
    <w:family w:val="swiss"/>
    <w:charset w:val="A1"/>
    <w:pitch w:val="variable"/>
  </w:font>
  <w:font w:name="Segoe UI Tur">
    <w:altName w:val="Arial"/>
    <w:family w:val="swiss"/>
    <w:charset w:val="A2"/>
    <w:pitch w:val="variable"/>
  </w:font>
  <w:font w:name="Segoe UI (Arabic)">
    <w:altName w:val="Arial"/>
    <w:family w:val="swiss"/>
    <w:charset w:val="B2"/>
    <w:pitch w:val="variable"/>
  </w:font>
  <w:font w:name="Segoe UI Baltic">
    <w:altName w:val="Arial"/>
    <w:family w:val="swiss"/>
    <w:charset w:val="BA"/>
    <w:pitch w:val="variable"/>
  </w:font>
  <w:font w:name="Segoe UI (Vietnamese)">
    <w:altName w:val="Arial"/>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mbria">
    <w:family w:val="roman"/>
    <w:charset w:val="00"/>
    <w:pitch w:val="variable"/>
  </w:font>
  <w:font w:name="Cambria CE">
    <w:family w:val="roman"/>
    <w:charset w:val="EE"/>
    <w:pitch w:val="variable"/>
  </w:font>
  <w:font w:name="Cambria Greek">
    <w:family w:val="roman"/>
    <w:charset w:val="A1"/>
    <w:pitch w:val="variable"/>
  </w:font>
  <w:font w:name="Cambria Tur">
    <w:family w:val="roman"/>
    <w:charset w:val="A2"/>
    <w:pitch w:val="variable"/>
  </w:font>
  <w:font w:name="Cambria Baltic">
    <w:family w:val="roman"/>
    <w:charset w:val="BA"/>
    <w:pitch w:val="variable"/>
  </w:font>
  <w:font w:name="Cambria (Vietnamese)">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libri">
    <w:family w:val="swiss"/>
    <w:charset w:val="00"/>
    <w:pitch w:val="variable"/>
  </w:font>
  <w:font w:name="Calibri CE">
    <w:family w:val="swiss"/>
    <w:charset w:val="EE"/>
    <w:pitch w:val="variable"/>
  </w:font>
  <w:font w:name="Calibri Greek">
    <w:family w:val="swiss"/>
    <w:charset w:val="A1"/>
    <w:pitch w:val="variable"/>
  </w:font>
  <w:font w:name="Calibri Tur">
    <w:family w:val="swiss"/>
    <w:charset w:val="A2"/>
    <w:pitch w:val="variable"/>
  </w:font>
  <w:font w:name="Calibri Baltic">
    <w:family w:val="swiss"/>
    <w:charset w:val="BA"/>
    <w:pitch w:val="variable"/>
  </w:font>
  <w:font w:name="Calibri (Vietnamese)">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s>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xmlns:w="http://schemas.openxmlformats.org/wordprocessingml/2006/main"/>
  <m:mathPr>
    <m:mathFont m:val="Cambria Math"/>
    <m:brkBin m:val="before"/>
    <m:brkBinSub m:val="--"/>
    <m:smallFrac w:val="0"/>
    <m:dispDef w:val="1"/>
    <m:lMargin w:val="0"/>
    <m:rMargin w:val="0"/>
    <m:defJc m:val="centerGroup"/>
    <m:wrapIndent w:val="1440"/>
    <m:intLim xmlns:m="http://schemas.openxmlformats.org/officeDocument/2006/math" m:val="subSup"/>
    <m:naryLim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autoHyphenation xmlns:w="http://schemas.openxmlformats.org/wordprocessingml/2006/main" w:val="true"/>
  <w:bordersDoNotSurroundHeader xmlns:w="http://schemas.openxmlformats.org/wordprocessingml/2006/main" w:val="false"/>
  <w:bordersDoNotSurroundFooter xmlns:w="http://schemas.openxmlformats.org/wordprocessingml/2006/main" w:val="false"/>
  <w:displayBackgroundShape xmlns:w="http://schemas.openxmlformats.org/wordprocessingml/2006/main" w:val="true"/>
  <w:footnotePr xmlns:w="http://schemas.openxmlformats.org/wordprocessingml/2006/main">
    <w:footnote w:id="0"/>
    <w:footnote w:id="1"/>
    <w:pos w:val="beneathText"/>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hyperlink" Target="http://gasu.gov.ru/stratpassport" TargetMode="External"/><Relationship Id="rId3" Type="http://schemas.openxmlformats.org/officeDocument/2006/relationships/hyperlink" Target="http://dimitrovgrad.ru/regulatory/program_projects/33174/" TargetMode="External"/><Relationship Id="rId4" Type="http://schemas.openxmlformats.org/officeDocument/2006/relationships/theme" Target="theme/theme1.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styles" Target="styles.xml"/><Relationship Id="rId8" Type="http://schemas.openxmlformats.org/officeDocument/2006/relationships/fontTable" Target="fontTable.xml"/><Relationship Id="rId11"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88</TotalTime>
  <Pages>2</Pages>
  <Words>766</Words>
  <Characters>4368</Characters>
  <CharactersWithSpaces>5124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Димитровграда Ульяновской области</dc:title>
  <dc:creator>Пользователь</dc:creator>
</cp:coreProperties>
</file>